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6A2BBD" w:rsidRDefault="006273BE">
      <w:pPr>
        <w:pStyle w:val="Title"/>
        <w:pBdr>
          <w:bottom w:val="single" w:sz="8" w:space="12" w:color="4F81BD"/>
        </w:pBdr>
        <w:jc w:val="center"/>
        <w:rPr>
          <w:rFonts w:ascii="Tahoma" w:eastAsia="Tahoma" w:hAnsi="Tahoma" w:cs="Tahoma"/>
          <w:color w:val="000000"/>
        </w:rPr>
      </w:pPr>
      <w:r>
        <w:rPr>
          <w:rFonts w:ascii="Tahoma" w:eastAsia="Tahoma" w:hAnsi="Tahoma" w:cs="Tahoma"/>
          <w:color w:val="000000"/>
        </w:rPr>
        <w:t>TERMS OF REFERENCE</w:t>
      </w:r>
    </w:p>
    <w:p w14:paraId="00000002" w14:textId="77777777" w:rsidR="006A2BBD" w:rsidRPr="007C3F82" w:rsidRDefault="006273BE">
      <w:pPr>
        <w:jc w:val="center"/>
        <w:rPr>
          <w:rFonts w:ascii="Tahoma" w:eastAsia="Tahoma" w:hAnsi="Tahoma" w:cs="Tahoma"/>
          <w:b/>
          <w:bCs/>
        </w:rPr>
      </w:pPr>
      <w:r w:rsidRPr="007C3F82">
        <w:rPr>
          <w:rFonts w:ascii="Tahoma" w:eastAsia="Tahoma" w:hAnsi="Tahoma" w:cs="Tahoma"/>
          <w:b/>
          <w:bCs/>
        </w:rPr>
        <w:t>Development of Practical Toolkits for Capacity Building and Webinar Programme</w:t>
      </w:r>
    </w:p>
    <w:p w14:paraId="00000003" w14:textId="77777777" w:rsidR="006A2BBD" w:rsidRPr="007C3F82" w:rsidRDefault="006273BE">
      <w:pPr>
        <w:jc w:val="center"/>
        <w:rPr>
          <w:rFonts w:ascii="Tahoma" w:eastAsia="Tahoma" w:hAnsi="Tahoma" w:cs="Tahoma"/>
          <w:b/>
          <w:bCs/>
        </w:rPr>
      </w:pPr>
      <w:r w:rsidRPr="007C3F82">
        <w:rPr>
          <w:rFonts w:ascii="Tahoma" w:eastAsia="Tahoma" w:hAnsi="Tahoma" w:cs="Tahoma"/>
          <w:b/>
          <w:bCs/>
        </w:rPr>
        <w:t>Act &amp; Impact: Local Action for Civic Initiatives</w:t>
      </w:r>
    </w:p>
    <w:p w14:paraId="00000004"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1. Background</w:t>
      </w:r>
    </w:p>
    <w:p w14:paraId="00000005"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project Act &amp; Impact: Local Action for Civic Initiatives aims to strengthen civic engagement and active participation of citizens at the local level through a combination of financial support and capacity building of civil society organisations, informal groups, and local initiatives. Through grants, training, mentoring, knowledge exchange, and support to local fundraising, the project enables actors to respond to concrete community needs and contribute to more inclusive and participatory local development.</w:t>
      </w:r>
    </w:p>
    <w:p w14:paraId="00000006"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overall objective of the project is to enhance civic participation and democratic engagement in local communities in Serbia, while the specific objective is to strengthen the capacities of civil society organisations and informal groups to design and implement local initiatives.</w:t>
      </w:r>
    </w:p>
    <w:p w14:paraId="00000007"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capacity building component is based on an established methodology that connects learning with practical application. It functions as a flexible framework through which knowledge, skills, and experiences are developed, shared, and applied in a continuous learning cycle.</w:t>
      </w:r>
    </w:p>
    <w:p w14:paraId="00000008" w14:textId="77777777" w:rsidR="006A2BBD" w:rsidRDefault="006273BE" w:rsidP="007C3F82">
      <w:pPr>
        <w:spacing w:before="120" w:after="120" w:line="240" w:lineRule="auto"/>
        <w:rPr>
          <w:rFonts w:ascii="Tahoma" w:eastAsia="Tahoma" w:hAnsi="Tahoma" w:cs="Tahoma"/>
        </w:rPr>
      </w:pPr>
      <w:r>
        <w:rPr>
          <w:rFonts w:ascii="Tahoma" w:eastAsia="Tahoma" w:hAnsi="Tahoma" w:cs="Tahoma"/>
        </w:rPr>
        <w:t>The methodology is organised around three thematic areas:</w:t>
      </w:r>
    </w:p>
    <w:p w14:paraId="00000009" w14:textId="77777777" w:rsidR="006A2BBD" w:rsidRDefault="006273BE">
      <w:pPr>
        <w:numPr>
          <w:ilvl w:val="0"/>
          <w:numId w:val="1"/>
        </w:numPr>
        <w:pBdr>
          <w:top w:val="nil"/>
          <w:left w:val="nil"/>
          <w:bottom w:val="nil"/>
          <w:right w:val="nil"/>
          <w:between w:val="nil"/>
        </w:pBdr>
        <w:spacing w:after="0"/>
        <w:rPr>
          <w:rFonts w:ascii="Tahoma" w:eastAsia="Tahoma" w:hAnsi="Tahoma" w:cs="Tahoma"/>
          <w:color w:val="000000"/>
        </w:rPr>
      </w:pPr>
      <w:r>
        <w:rPr>
          <w:rFonts w:ascii="Tahoma" w:eastAsia="Tahoma" w:hAnsi="Tahoma" w:cs="Tahoma"/>
          <w:color w:val="000000"/>
        </w:rPr>
        <w:t>Organisational resilience</w:t>
      </w:r>
    </w:p>
    <w:p w14:paraId="0000000A" w14:textId="77777777" w:rsidR="006A2BBD" w:rsidRDefault="006273BE">
      <w:pPr>
        <w:numPr>
          <w:ilvl w:val="0"/>
          <w:numId w:val="1"/>
        </w:numPr>
        <w:pBdr>
          <w:top w:val="nil"/>
          <w:left w:val="nil"/>
          <w:bottom w:val="nil"/>
          <w:right w:val="nil"/>
          <w:between w:val="nil"/>
        </w:pBdr>
        <w:spacing w:after="0"/>
        <w:rPr>
          <w:rFonts w:ascii="Tahoma" w:eastAsia="Tahoma" w:hAnsi="Tahoma" w:cs="Tahoma"/>
          <w:color w:val="000000"/>
        </w:rPr>
      </w:pPr>
      <w:r>
        <w:rPr>
          <w:rFonts w:ascii="Tahoma" w:eastAsia="Tahoma" w:hAnsi="Tahoma" w:cs="Tahoma"/>
          <w:color w:val="000000"/>
        </w:rPr>
        <w:t>Citizen mobilisation and advocacy</w:t>
      </w:r>
    </w:p>
    <w:p w14:paraId="0000000B" w14:textId="77777777" w:rsidR="006A2BBD" w:rsidRDefault="006273BE">
      <w:pPr>
        <w:numPr>
          <w:ilvl w:val="0"/>
          <w:numId w:val="1"/>
        </w:numPr>
        <w:pBdr>
          <w:top w:val="nil"/>
          <w:left w:val="nil"/>
          <w:bottom w:val="nil"/>
          <w:right w:val="nil"/>
          <w:between w:val="nil"/>
        </w:pBdr>
        <w:rPr>
          <w:rFonts w:ascii="Tahoma" w:eastAsia="Tahoma" w:hAnsi="Tahoma" w:cs="Tahoma"/>
          <w:color w:val="000000"/>
        </w:rPr>
      </w:pPr>
      <w:r>
        <w:rPr>
          <w:rFonts w:ascii="Tahoma" w:eastAsia="Tahoma" w:hAnsi="Tahoma" w:cs="Tahoma"/>
          <w:color w:val="000000"/>
        </w:rPr>
        <w:t>Community fundraising</w:t>
      </w:r>
    </w:p>
    <w:p w14:paraId="0000000C"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This approach combines different support formats, including training, mentoring, and peer learning. Trainings build on existing materials and methodologies of project partners, while mentoring is tailored based on needs assessments. Communities of practice will be developed in later phases of the project.</w:t>
      </w:r>
    </w:p>
    <w:p w14:paraId="0000000D"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Within this approach, toolkits and webinars represent key instruments for structuring and transferring knowledge in a practical and accessible way.</w:t>
      </w:r>
    </w:p>
    <w:p w14:paraId="0000000E"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2. Objective of the Assignment</w:t>
      </w:r>
    </w:p>
    <w:p w14:paraId="0000000F"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objective of this assignment is to develop practical learning resources and an online learning programme aligned with the existing capacity building approach of the project.</w:t>
      </w:r>
    </w:p>
    <w:p w14:paraId="00000010" w14:textId="77777777" w:rsidR="006A2BBD" w:rsidRDefault="006273BE" w:rsidP="007C3F82">
      <w:pPr>
        <w:spacing w:before="120" w:after="120" w:line="240" w:lineRule="auto"/>
        <w:rPr>
          <w:rFonts w:ascii="Tahoma" w:eastAsia="Tahoma" w:hAnsi="Tahoma" w:cs="Tahoma"/>
        </w:rPr>
      </w:pPr>
      <w:r>
        <w:rPr>
          <w:rFonts w:ascii="Tahoma" w:eastAsia="Tahoma" w:hAnsi="Tahoma" w:cs="Tahoma"/>
        </w:rPr>
        <w:t>The assignment includes:</w:t>
      </w:r>
    </w:p>
    <w:p w14:paraId="00000011" w14:textId="77777777" w:rsidR="006A2BBD" w:rsidRDefault="006273BE">
      <w:pPr>
        <w:numPr>
          <w:ilvl w:val="0"/>
          <w:numId w:val="1"/>
        </w:numPr>
        <w:pBdr>
          <w:top w:val="nil"/>
          <w:left w:val="nil"/>
          <w:bottom w:val="nil"/>
          <w:right w:val="nil"/>
          <w:between w:val="nil"/>
        </w:pBdr>
        <w:spacing w:after="0"/>
        <w:rPr>
          <w:rFonts w:ascii="Tahoma" w:eastAsia="Tahoma" w:hAnsi="Tahoma" w:cs="Tahoma"/>
          <w:color w:val="000000"/>
        </w:rPr>
      </w:pPr>
      <w:r>
        <w:rPr>
          <w:rFonts w:ascii="Tahoma" w:eastAsia="Tahoma" w:hAnsi="Tahoma" w:cs="Tahoma"/>
          <w:color w:val="000000"/>
        </w:rPr>
        <w:t>development of three thematic toolkits</w:t>
      </w:r>
    </w:p>
    <w:p w14:paraId="00000012" w14:textId="77777777" w:rsidR="006A2BBD" w:rsidRDefault="006273BE">
      <w:pPr>
        <w:numPr>
          <w:ilvl w:val="0"/>
          <w:numId w:val="1"/>
        </w:numPr>
        <w:pBdr>
          <w:top w:val="nil"/>
          <w:left w:val="nil"/>
          <w:bottom w:val="nil"/>
          <w:right w:val="nil"/>
          <w:between w:val="nil"/>
        </w:pBdr>
        <w:rPr>
          <w:rFonts w:ascii="Tahoma" w:eastAsia="Tahoma" w:hAnsi="Tahoma" w:cs="Tahoma"/>
          <w:color w:val="000000"/>
        </w:rPr>
      </w:pPr>
      <w:r>
        <w:rPr>
          <w:rFonts w:ascii="Tahoma" w:eastAsia="Tahoma" w:hAnsi="Tahoma" w:cs="Tahoma"/>
          <w:color w:val="000000"/>
        </w:rPr>
        <w:t>design of a webinar programme based on these toolkits</w:t>
      </w:r>
    </w:p>
    <w:p w14:paraId="00000013"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aim is to translate key knowledge and practical guidance into formats that are understandable, relevant, and applicable in the work of organisations and initiatives.</w:t>
      </w:r>
    </w:p>
    <w:p w14:paraId="00000014"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This assignment does not include delivery of trainings, mentoring, or facilitation of communities of practice.</w:t>
      </w:r>
    </w:p>
    <w:p w14:paraId="00000015"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lastRenderedPageBreak/>
        <w:t>3. Scope of Work</w:t>
      </w:r>
    </w:p>
    <w:p w14:paraId="00000016"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service provider will work in close cooperation with the project team and will be responsible for the following:</w:t>
      </w:r>
    </w:p>
    <w:p w14:paraId="00000017" w14:textId="77777777" w:rsidR="006A2BBD" w:rsidRDefault="006273BE" w:rsidP="007C3F82">
      <w:pPr>
        <w:pStyle w:val="Heading2"/>
        <w:spacing w:before="120" w:after="120" w:line="240" w:lineRule="auto"/>
        <w:rPr>
          <w:rFonts w:ascii="Tahoma" w:eastAsia="Tahoma" w:hAnsi="Tahoma" w:cs="Tahoma"/>
          <w:color w:val="000000"/>
        </w:rPr>
      </w:pPr>
      <w:r>
        <w:rPr>
          <w:rFonts w:ascii="Tahoma" w:eastAsia="Tahoma" w:hAnsi="Tahoma" w:cs="Tahoma"/>
          <w:color w:val="000000"/>
        </w:rPr>
        <w:t>3.1 Initial Review and Alignment</w:t>
      </w:r>
    </w:p>
    <w:p w14:paraId="00000018"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Review of project documentation and capacity building methodology</w:t>
      </w:r>
    </w:p>
    <w:p w14:paraId="00000019"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Consultations with the project team to align the approach and planned activities</w:t>
      </w:r>
    </w:p>
    <w:p w14:paraId="0000001A" w14:textId="77777777" w:rsidR="006A2BBD" w:rsidRDefault="006273BE" w:rsidP="007C3F82">
      <w:pPr>
        <w:pStyle w:val="Heading2"/>
        <w:spacing w:before="120" w:after="120" w:line="240" w:lineRule="auto"/>
        <w:rPr>
          <w:rFonts w:ascii="Tahoma" w:eastAsia="Tahoma" w:hAnsi="Tahoma" w:cs="Tahoma"/>
          <w:color w:val="000000"/>
        </w:rPr>
      </w:pPr>
      <w:r>
        <w:rPr>
          <w:rFonts w:ascii="Tahoma" w:eastAsia="Tahoma" w:hAnsi="Tahoma" w:cs="Tahoma"/>
          <w:color w:val="000000"/>
        </w:rPr>
        <w:t>3.2 Development of Thematic Toolkits</w:t>
      </w:r>
    </w:p>
    <w:p w14:paraId="0000001B" w14:textId="77777777" w:rsidR="006A2BBD" w:rsidRDefault="006273BE" w:rsidP="007C3F82">
      <w:pPr>
        <w:spacing w:before="120" w:after="120" w:line="240" w:lineRule="auto"/>
        <w:rPr>
          <w:rFonts w:ascii="Tahoma" w:eastAsia="Tahoma" w:hAnsi="Tahoma" w:cs="Tahoma"/>
        </w:rPr>
      </w:pPr>
      <w:r>
        <w:rPr>
          <w:rFonts w:ascii="Tahoma" w:eastAsia="Tahoma" w:hAnsi="Tahoma" w:cs="Tahoma"/>
        </w:rPr>
        <w:t>Develop three practical toolkits corresponding to the thematic areas of the project:</w:t>
      </w:r>
    </w:p>
    <w:p w14:paraId="0000001C" w14:textId="77777777" w:rsidR="006A2BBD" w:rsidRDefault="006273BE" w:rsidP="007C3F82">
      <w:pPr>
        <w:numPr>
          <w:ilvl w:val="0"/>
          <w:numId w:val="2"/>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Organisational resilience</w:t>
      </w:r>
    </w:p>
    <w:p w14:paraId="0000001D" w14:textId="77777777" w:rsidR="006A2BBD" w:rsidRDefault="006273BE" w:rsidP="007C3F82">
      <w:pPr>
        <w:numPr>
          <w:ilvl w:val="0"/>
          <w:numId w:val="2"/>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Citizen mobilisation and advocacy</w:t>
      </w:r>
    </w:p>
    <w:p w14:paraId="0000001E" w14:textId="77777777" w:rsidR="006A2BBD" w:rsidRDefault="006273BE" w:rsidP="007C3F82">
      <w:pPr>
        <w:numPr>
          <w:ilvl w:val="0"/>
          <w:numId w:val="2"/>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Community fundraising</w:t>
      </w:r>
    </w:p>
    <w:p w14:paraId="0000001F" w14:textId="77777777" w:rsidR="006A2BBD" w:rsidRDefault="006273BE" w:rsidP="007C3F82">
      <w:pPr>
        <w:spacing w:before="120" w:after="120" w:line="240" w:lineRule="auto"/>
        <w:rPr>
          <w:rFonts w:ascii="Tahoma" w:eastAsia="Tahoma" w:hAnsi="Tahoma" w:cs="Tahoma"/>
        </w:rPr>
      </w:pPr>
      <w:r>
        <w:rPr>
          <w:rFonts w:ascii="Tahoma" w:eastAsia="Tahoma" w:hAnsi="Tahoma" w:cs="Tahoma"/>
        </w:rPr>
        <w:t>Toolkits should:</w:t>
      </w:r>
    </w:p>
    <w:p w14:paraId="00000020"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provide clear and practical guidance</w:t>
      </w:r>
    </w:p>
    <w:p w14:paraId="00000021"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be tailored to civil society organisations, informal groups, and initiatives</w:t>
      </w:r>
    </w:p>
    <w:p w14:paraId="00000022"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combine explanations, practical tools, and real-life examples</w:t>
      </w:r>
    </w:p>
    <w:p w14:paraId="00000023"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Toolkits represent the central operational component of the capacity building methodology and should translate key concepts into resources that can be directly used in practice. They should be flexible and adaptable to different local contexts.</w:t>
      </w:r>
    </w:p>
    <w:p w14:paraId="00000024"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They are expected to be developed in a digital format that allows easy use and further improvement.</w:t>
      </w:r>
    </w:p>
    <w:p w14:paraId="00000025"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Development may include:</w:t>
      </w:r>
    </w:p>
    <w:p w14:paraId="00000026"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review of existing materials</w:t>
      </w:r>
    </w:p>
    <w:p w14:paraId="00000027"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selection and adaptation of relevant tools and approaches</w:t>
      </w:r>
    </w:p>
    <w:p w14:paraId="00000028"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structuring content by key themes</w:t>
      </w:r>
    </w:p>
    <w:p w14:paraId="00000029" w14:textId="77777777" w:rsidR="006A2BBD" w:rsidRDefault="006273BE" w:rsidP="007C3F82">
      <w:pPr>
        <w:pStyle w:val="Heading2"/>
        <w:spacing w:before="120" w:after="120" w:line="240" w:lineRule="auto"/>
        <w:rPr>
          <w:rFonts w:ascii="Tahoma" w:eastAsia="Tahoma" w:hAnsi="Tahoma" w:cs="Tahoma"/>
          <w:color w:val="000000"/>
        </w:rPr>
      </w:pPr>
      <w:r>
        <w:rPr>
          <w:rFonts w:ascii="Tahoma" w:eastAsia="Tahoma" w:hAnsi="Tahoma" w:cs="Tahoma"/>
          <w:color w:val="000000"/>
        </w:rPr>
        <w:t>3.3 Development of Webinar Programme</w:t>
      </w:r>
    </w:p>
    <w:p w14:paraId="0000002A"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Based on the developed toolkits, the consultant(s) will design an online webinar programme, including:</w:t>
      </w:r>
    </w:p>
    <w:p w14:paraId="0000002B"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defining topics and sequence</w:t>
      </w:r>
    </w:p>
    <w:p w14:paraId="0000002C"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proposed structure and session formats</w:t>
      </w:r>
    </w:p>
    <w:p w14:paraId="0000002D"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key learning objectives and content</w:t>
      </w:r>
    </w:p>
    <w:p w14:paraId="0000002E"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proposed methodology (interactive elements, exercises, etc.)</w:t>
      </w:r>
    </w:p>
    <w:p w14:paraId="0000002F"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webinar programme should be practical, easy to implement, and aligned with participants’ needs.</w:t>
      </w:r>
    </w:p>
    <w:p w14:paraId="00000030"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Webinars should be open to a wider group of citizens and civil society actors in Serbia and based on the thematic areas defined in this document.</w:t>
      </w:r>
    </w:p>
    <w:p w14:paraId="00000031"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programme should include at least 10 webinars. The exact structure and schedule can be further refined, but balanced coverage of thematic areas should be ensured.</w:t>
      </w:r>
    </w:p>
    <w:p w14:paraId="00000032" w14:textId="77777777" w:rsidR="006A2BBD" w:rsidRDefault="006273BE" w:rsidP="007C3F82">
      <w:pPr>
        <w:pStyle w:val="Heading2"/>
        <w:spacing w:before="120" w:after="120" w:line="240" w:lineRule="auto"/>
        <w:rPr>
          <w:rFonts w:ascii="Tahoma" w:eastAsia="Tahoma" w:hAnsi="Tahoma" w:cs="Tahoma"/>
          <w:color w:val="000000"/>
        </w:rPr>
      </w:pPr>
      <w:r>
        <w:rPr>
          <w:rFonts w:ascii="Tahoma" w:eastAsia="Tahoma" w:hAnsi="Tahoma" w:cs="Tahoma"/>
          <w:color w:val="000000"/>
        </w:rPr>
        <w:lastRenderedPageBreak/>
        <w:t>3.4 Coordination and Revisions</w:t>
      </w:r>
    </w:p>
    <w:p w14:paraId="00000033"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Participation in meetings with the project team</w:t>
      </w:r>
    </w:p>
    <w:p w14:paraId="00000034"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Presentation of draft versions of toolkits and webinar programme</w:t>
      </w:r>
    </w:p>
    <w:p w14:paraId="00000035"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Revision of materials based on feedback</w:t>
      </w:r>
    </w:p>
    <w:p w14:paraId="00000036"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4. Deliverables</w:t>
      </w:r>
    </w:p>
    <w:p w14:paraId="00000037" w14:textId="77777777" w:rsidR="006A2BBD" w:rsidRDefault="006273BE" w:rsidP="007C3F82">
      <w:pPr>
        <w:spacing w:before="120" w:after="120" w:line="240" w:lineRule="auto"/>
        <w:rPr>
          <w:rFonts w:ascii="Tahoma" w:eastAsia="Tahoma" w:hAnsi="Tahoma" w:cs="Tahoma"/>
        </w:rPr>
      </w:pPr>
      <w:r>
        <w:rPr>
          <w:rFonts w:ascii="Tahoma" w:eastAsia="Tahoma" w:hAnsi="Tahoma" w:cs="Tahoma"/>
        </w:rPr>
        <w:t>The service provider will deliver:</w:t>
      </w:r>
    </w:p>
    <w:p w14:paraId="00000038"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 xml:space="preserve">Three thematic toolkits </w:t>
      </w:r>
    </w:p>
    <w:p w14:paraId="00000039"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Webinar programme with session descriptions</w:t>
      </w:r>
    </w:p>
    <w:p w14:paraId="0000003A"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Short guidance note for the project team on how to use the toolkits and implement the webinars</w:t>
      </w:r>
    </w:p>
    <w:p w14:paraId="0000003B" w14:textId="77777777" w:rsidR="006A2BBD" w:rsidRDefault="006273BE" w:rsidP="007C3F82">
      <w:pPr>
        <w:pBdr>
          <w:top w:val="nil"/>
          <w:left w:val="nil"/>
          <w:bottom w:val="nil"/>
          <w:right w:val="nil"/>
          <w:between w:val="nil"/>
        </w:pBdr>
        <w:spacing w:before="120" w:after="120" w:line="240" w:lineRule="auto"/>
        <w:rPr>
          <w:rFonts w:ascii="Tahoma" w:eastAsia="Tahoma" w:hAnsi="Tahoma" w:cs="Tahoma"/>
        </w:rPr>
      </w:pPr>
      <w:r>
        <w:rPr>
          <w:rFonts w:ascii="Tahoma" w:eastAsia="Tahoma" w:hAnsi="Tahoma" w:cs="Tahoma"/>
        </w:rPr>
        <w:t>All deliverables must be submitted in Serbian.</w:t>
      </w:r>
    </w:p>
    <w:p w14:paraId="0000003C"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5. Duration of the Assignment</w:t>
      </w:r>
    </w:p>
    <w:p w14:paraId="0000003D"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assignment will last up to three months.</w:t>
      </w:r>
    </w:p>
    <w:p w14:paraId="0000003E"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A detailed work plan and timeline will be agreed with the selected service provider.</w:t>
      </w:r>
    </w:p>
    <w:p w14:paraId="0000003F"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6. Service Provider Profile</w:t>
      </w:r>
    </w:p>
    <w:p w14:paraId="00000040" w14:textId="77777777" w:rsidR="006A2BBD" w:rsidRDefault="006273BE" w:rsidP="007C3F82">
      <w:pPr>
        <w:spacing w:before="120" w:after="120" w:line="240" w:lineRule="auto"/>
        <w:rPr>
          <w:rFonts w:ascii="Tahoma" w:eastAsia="Tahoma" w:hAnsi="Tahoma" w:cs="Tahoma"/>
        </w:rPr>
      </w:pPr>
      <w:r>
        <w:rPr>
          <w:rFonts w:ascii="Tahoma" w:eastAsia="Tahoma" w:hAnsi="Tahoma" w:cs="Tahoma"/>
        </w:rPr>
        <w:t>The service provider should meet the following requirements:</w:t>
      </w:r>
    </w:p>
    <w:p w14:paraId="00000041"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experience in capacity building and/or training design in the civil society sector</w:t>
      </w:r>
    </w:p>
    <w:p w14:paraId="00000042"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experience in developing practical learning materials (toolkits, guides, curricula, etc.)</w:t>
      </w:r>
    </w:p>
    <w:p w14:paraId="00000043"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understanding of the work of civil society organisations and local initiatives</w:t>
      </w:r>
    </w:p>
    <w:p w14:paraId="00000044"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experience with online learning formats</w:t>
      </w:r>
    </w:p>
    <w:p w14:paraId="00000045"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strong analytical and writing skills</w:t>
      </w:r>
    </w:p>
    <w:p w14:paraId="00000046"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ability to present complex topics in a clear and practical manner</w:t>
      </w:r>
    </w:p>
    <w:p w14:paraId="00000047"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7. Application Procedure</w:t>
      </w:r>
    </w:p>
    <w:p w14:paraId="00000048" w14:textId="77777777" w:rsidR="006A2BBD" w:rsidRDefault="006273BE" w:rsidP="007C3F82">
      <w:pPr>
        <w:spacing w:before="120" w:after="120" w:line="240" w:lineRule="auto"/>
        <w:rPr>
          <w:rFonts w:ascii="Tahoma" w:eastAsia="Tahoma" w:hAnsi="Tahoma" w:cs="Tahoma"/>
        </w:rPr>
      </w:pPr>
      <w:r>
        <w:rPr>
          <w:rFonts w:ascii="Tahoma" w:eastAsia="Tahoma" w:hAnsi="Tahoma" w:cs="Tahoma"/>
        </w:rPr>
        <w:t>Interested tenderers should submit:</w:t>
      </w:r>
    </w:p>
    <w:p w14:paraId="00000049" w14:textId="77777777" w:rsidR="006A2BBD" w:rsidRDefault="006273BE" w:rsidP="007C3F82">
      <w:pPr>
        <w:spacing w:before="120" w:after="120" w:line="240" w:lineRule="auto"/>
        <w:ind w:left="91"/>
        <w:rPr>
          <w:rFonts w:ascii="Tahoma" w:eastAsia="Tahoma" w:hAnsi="Tahoma" w:cs="Tahoma"/>
        </w:rPr>
      </w:pPr>
      <w:r>
        <w:rPr>
          <w:rFonts w:ascii="Tahoma" w:eastAsia="Tahoma" w:hAnsi="Tahoma" w:cs="Tahoma"/>
        </w:rPr>
        <w:t>7.1. Filled in application form (enclosed as an integral part of this Invitation) containing:</w:t>
      </w:r>
    </w:p>
    <w:p w14:paraId="0000004A" w14:textId="35EB973A" w:rsidR="006A2BBD" w:rsidRDefault="007C3F82" w:rsidP="007C3F82">
      <w:pPr>
        <w:spacing w:after="0" w:line="240" w:lineRule="auto"/>
        <w:ind w:left="450" w:hanging="195"/>
        <w:rPr>
          <w:rFonts w:ascii="Tahoma" w:eastAsia="Tahoma" w:hAnsi="Tahoma" w:cs="Tahoma"/>
        </w:rPr>
      </w:pPr>
      <w:r>
        <w:rPr>
          <w:rFonts w:ascii="Tahoma" w:eastAsia="Tahoma" w:hAnsi="Tahoma" w:cs="Tahoma"/>
        </w:rPr>
        <w:t xml:space="preserve">  </w:t>
      </w:r>
      <w:r w:rsidR="006273BE">
        <w:rPr>
          <w:rFonts w:ascii="Tahoma" w:eastAsia="Tahoma" w:hAnsi="Tahoma" w:cs="Tahoma"/>
        </w:rPr>
        <w:t>(i)   Contact information,</w:t>
      </w:r>
    </w:p>
    <w:p w14:paraId="0000004B" w14:textId="0840B850" w:rsidR="006A2BBD" w:rsidRDefault="006273BE" w:rsidP="007C3F82">
      <w:pPr>
        <w:spacing w:after="0" w:line="240" w:lineRule="auto"/>
        <w:ind w:left="360" w:hanging="435"/>
        <w:rPr>
          <w:rFonts w:ascii="Tahoma" w:eastAsia="Tahoma" w:hAnsi="Tahoma" w:cs="Tahoma"/>
        </w:rPr>
      </w:pPr>
      <w:r>
        <w:rPr>
          <w:rFonts w:ascii="Tahoma" w:eastAsia="Tahoma" w:hAnsi="Tahoma" w:cs="Tahoma"/>
        </w:rPr>
        <w:t xml:space="preserve">     </w:t>
      </w:r>
      <w:r w:rsidR="007C3F82">
        <w:rPr>
          <w:rFonts w:ascii="Tahoma" w:eastAsia="Tahoma" w:hAnsi="Tahoma" w:cs="Tahoma"/>
        </w:rPr>
        <w:t xml:space="preserve"> </w:t>
      </w:r>
      <w:r>
        <w:rPr>
          <w:rFonts w:ascii="Tahoma" w:eastAsia="Tahoma" w:hAnsi="Tahoma" w:cs="Tahoma"/>
        </w:rPr>
        <w:t>(ii)   Gross fee for providing services,</w:t>
      </w:r>
    </w:p>
    <w:p w14:paraId="0000004C" w14:textId="77777777" w:rsidR="006A2BBD" w:rsidRDefault="006273BE" w:rsidP="007C3F82">
      <w:pPr>
        <w:spacing w:after="0" w:line="240" w:lineRule="auto"/>
        <w:ind w:left="270"/>
        <w:rPr>
          <w:rFonts w:ascii="Tahoma" w:eastAsia="Tahoma" w:hAnsi="Tahoma" w:cs="Tahoma"/>
        </w:rPr>
      </w:pPr>
      <w:r>
        <w:rPr>
          <w:rFonts w:ascii="Tahoma" w:eastAsia="Tahoma" w:hAnsi="Tahoma" w:cs="Tahoma"/>
        </w:rPr>
        <w:t xml:space="preserve">(iii)   References </w:t>
      </w:r>
    </w:p>
    <w:p w14:paraId="0000004D" w14:textId="0AC273C5" w:rsidR="006A2BBD" w:rsidRDefault="006273BE" w:rsidP="007C3F82">
      <w:pPr>
        <w:spacing w:before="120" w:after="120" w:line="240" w:lineRule="auto"/>
        <w:rPr>
          <w:rFonts w:ascii="Tahoma" w:eastAsia="Tahoma" w:hAnsi="Tahoma" w:cs="Tahoma"/>
        </w:rPr>
      </w:pPr>
      <w:r>
        <w:rPr>
          <w:rFonts w:ascii="Tahoma" w:eastAsia="Tahoma" w:hAnsi="Tahoma" w:cs="Tahoma"/>
        </w:rPr>
        <w:t xml:space="preserve"> 7.2.</w:t>
      </w:r>
      <w:r>
        <w:rPr>
          <w:rFonts w:ascii="Tahoma" w:eastAsia="Tahoma" w:hAnsi="Tahoma" w:cs="Tahoma"/>
          <w:sz w:val="14"/>
          <w:szCs w:val="14"/>
        </w:rPr>
        <w:t xml:space="preserve"> </w:t>
      </w:r>
      <w:r>
        <w:rPr>
          <w:rFonts w:ascii="Tahoma" w:eastAsia="Tahoma" w:hAnsi="Tahoma" w:cs="Tahoma"/>
        </w:rPr>
        <w:t xml:space="preserve">Company/Individual offer in English including: </w:t>
      </w:r>
    </w:p>
    <w:p w14:paraId="0000004E" w14:textId="77777777" w:rsidR="006A2BBD" w:rsidRDefault="006273BE" w:rsidP="007C3F82">
      <w:pPr>
        <w:numPr>
          <w:ilvl w:val="0"/>
          <w:numId w:val="1"/>
        </w:numPr>
        <w:pBdr>
          <w:top w:val="nil"/>
          <w:left w:val="nil"/>
          <w:bottom w:val="nil"/>
          <w:right w:val="nil"/>
          <w:between w:val="nil"/>
        </w:pBdr>
        <w:spacing w:after="0" w:line="240" w:lineRule="auto"/>
        <w:ind w:firstLine="90"/>
        <w:rPr>
          <w:rFonts w:ascii="Tahoma" w:eastAsia="Tahoma" w:hAnsi="Tahoma" w:cs="Tahoma"/>
          <w:color w:val="000000"/>
        </w:rPr>
      </w:pPr>
      <w:r>
        <w:rPr>
          <w:rFonts w:ascii="Tahoma" w:eastAsia="Tahoma" w:hAnsi="Tahoma" w:cs="Tahoma"/>
          <w:color w:val="000000"/>
        </w:rPr>
        <w:t xml:space="preserve">Technical proposal </w:t>
      </w:r>
      <w:r>
        <w:rPr>
          <w:rFonts w:ascii="Tahoma" w:eastAsia="Tahoma" w:hAnsi="Tahoma" w:cs="Tahoma"/>
        </w:rPr>
        <w:t xml:space="preserve">(free form, </w:t>
      </w:r>
      <w:r>
        <w:rPr>
          <w:rFonts w:ascii="Tahoma" w:eastAsia="Tahoma" w:hAnsi="Tahoma" w:cs="Tahoma"/>
          <w:color w:val="000000"/>
        </w:rPr>
        <w:t>max. 5 pages), including:</w:t>
      </w:r>
    </w:p>
    <w:p w14:paraId="0000004F" w14:textId="77777777" w:rsidR="006A2BBD" w:rsidRDefault="006273BE" w:rsidP="007C3F82">
      <w:pPr>
        <w:numPr>
          <w:ilvl w:val="0"/>
          <w:numId w:val="1"/>
        </w:numPr>
        <w:pBdr>
          <w:top w:val="nil"/>
          <w:left w:val="nil"/>
          <w:bottom w:val="nil"/>
          <w:right w:val="nil"/>
          <w:between w:val="nil"/>
        </w:pBdr>
        <w:spacing w:after="0" w:line="240" w:lineRule="auto"/>
        <w:ind w:left="1170"/>
        <w:rPr>
          <w:rFonts w:ascii="Tahoma" w:eastAsia="Tahoma" w:hAnsi="Tahoma" w:cs="Tahoma"/>
        </w:rPr>
      </w:pPr>
      <w:r>
        <w:rPr>
          <w:rFonts w:ascii="Tahoma" w:eastAsia="Tahoma" w:hAnsi="Tahoma" w:cs="Tahoma"/>
        </w:rPr>
        <w:t>understanding of the assignment</w:t>
      </w:r>
    </w:p>
    <w:p w14:paraId="00000050" w14:textId="77777777" w:rsidR="006A2BBD" w:rsidRDefault="006273BE" w:rsidP="007C3F82">
      <w:pPr>
        <w:numPr>
          <w:ilvl w:val="0"/>
          <w:numId w:val="1"/>
        </w:numPr>
        <w:pBdr>
          <w:top w:val="nil"/>
          <w:left w:val="nil"/>
          <w:bottom w:val="nil"/>
          <w:right w:val="nil"/>
          <w:between w:val="nil"/>
        </w:pBdr>
        <w:spacing w:after="0" w:line="240" w:lineRule="auto"/>
        <w:ind w:left="1170"/>
        <w:rPr>
          <w:rFonts w:ascii="Tahoma" w:eastAsia="Tahoma" w:hAnsi="Tahoma" w:cs="Tahoma"/>
        </w:rPr>
      </w:pPr>
      <w:r>
        <w:rPr>
          <w:rFonts w:ascii="Tahoma" w:eastAsia="Tahoma" w:hAnsi="Tahoma" w:cs="Tahoma"/>
        </w:rPr>
        <w:t>proposed approach</w:t>
      </w:r>
    </w:p>
    <w:p w14:paraId="00000051" w14:textId="77777777" w:rsidR="006A2BBD" w:rsidRDefault="006273BE" w:rsidP="007C3F82">
      <w:pPr>
        <w:numPr>
          <w:ilvl w:val="0"/>
          <w:numId w:val="1"/>
        </w:numPr>
        <w:pBdr>
          <w:top w:val="nil"/>
          <w:left w:val="nil"/>
          <w:bottom w:val="nil"/>
          <w:right w:val="nil"/>
          <w:between w:val="nil"/>
        </w:pBdr>
        <w:spacing w:after="0" w:line="240" w:lineRule="auto"/>
        <w:ind w:left="1170"/>
        <w:rPr>
          <w:rFonts w:ascii="Tahoma" w:eastAsia="Tahoma" w:hAnsi="Tahoma" w:cs="Tahoma"/>
        </w:rPr>
      </w:pPr>
      <w:r>
        <w:rPr>
          <w:rFonts w:ascii="Tahoma" w:eastAsia="Tahoma" w:hAnsi="Tahoma" w:cs="Tahoma"/>
        </w:rPr>
        <w:t>outline of deliverables</w:t>
      </w:r>
    </w:p>
    <w:p w14:paraId="00000052" w14:textId="0BACC95A" w:rsidR="006A2BBD" w:rsidRDefault="00BA64C4" w:rsidP="007C3F82">
      <w:pPr>
        <w:numPr>
          <w:ilvl w:val="0"/>
          <w:numId w:val="1"/>
        </w:numPr>
        <w:pBdr>
          <w:top w:val="nil"/>
          <w:left w:val="nil"/>
          <w:bottom w:val="nil"/>
          <w:right w:val="nil"/>
          <w:between w:val="nil"/>
        </w:pBdr>
        <w:spacing w:after="0" w:line="240" w:lineRule="auto"/>
        <w:ind w:left="1170"/>
        <w:rPr>
          <w:rFonts w:ascii="Tahoma" w:eastAsia="Tahoma" w:hAnsi="Tahoma" w:cs="Tahoma"/>
        </w:rPr>
      </w:pPr>
      <w:r>
        <w:rPr>
          <w:rFonts w:ascii="Tahoma" w:eastAsia="Tahoma" w:hAnsi="Tahoma" w:cs="Tahoma"/>
        </w:rPr>
        <w:t>t</w:t>
      </w:r>
      <w:r w:rsidR="006273BE">
        <w:rPr>
          <w:rFonts w:ascii="Tahoma" w:eastAsia="Tahoma" w:hAnsi="Tahoma" w:cs="Tahoma"/>
        </w:rPr>
        <w:t>imeline</w:t>
      </w:r>
    </w:p>
    <w:p w14:paraId="00000053" w14:textId="77777777" w:rsidR="006A2BBD" w:rsidRDefault="006273BE" w:rsidP="007C3F82">
      <w:pPr>
        <w:numPr>
          <w:ilvl w:val="0"/>
          <w:numId w:val="1"/>
        </w:numPr>
        <w:spacing w:line="240" w:lineRule="auto"/>
        <w:ind w:left="810" w:hanging="270"/>
        <w:rPr>
          <w:rFonts w:ascii="Tahoma" w:eastAsia="Tahoma" w:hAnsi="Tahoma" w:cs="Tahoma"/>
        </w:rPr>
      </w:pPr>
      <w:r>
        <w:rPr>
          <w:rFonts w:ascii="Tahoma" w:eastAsia="Tahoma" w:hAnsi="Tahoma" w:cs="Tahoma"/>
        </w:rPr>
        <w:t>CV(s) of the individual(s) that will deliver the assignment</w:t>
      </w:r>
    </w:p>
    <w:p w14:paraId="00000054" w14:textId="77777777" w:rsidR="006A2BBD" w:rsidRDefault="006273BE" w:rsidP="007C3F82">
      <w:pPr>
        <w:spacing w:before="120" w:after="120" w:line="240" w:lineRule="auto"/>
        <w:ind w:left="91"/>
        <w:rPr>
          <w:rFonts w:ascii="Tahoma" w:eastAsia="Tahoma" w:hAnsi="Tahoma" w:cs="Tahoma"/>
          <w:color w:val="000000"/>
        </w:rPr>
      </w:pPr>
      <w:r>
        <w:rPr>
          <w:rFonts w:ascii="Tahoma" w:eastAsia="Tahoma" w:hAnsi="Tahoma" w:cs="Tahoma"/>
        </w:rPr>
        <w:t>7.3. Budget form (free form) / total gross amount</w:t>
      </w:r>
    </w:p>
    <w:p w14:paraId="00000055"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lastRenderedPageBreak/>
        <w:t>8. Evaluation Criteria</w:t>
      </w:r>
    </w:p>
    <w:p w14:paraId="00000056" w14:textId="77777777" w:rsidR="006A2BBD" w:rsidRDefault="006273BE" w:rsidP="007C3F82">
      <w:pPr>
        <w:spacing w:before="120" w:after="120" w:line="240" w:lineRule="auto"/>
        <w:rPr>
          <w:rFonts w:ascii="Tahoma" w:eastAsia="Tahoma" w:hAnsi="Tahoma" w:cs="Tahoma"/>
        </w:rPr>
      </w:pPr>
      <w:r>
        <w:rPr>
          <w:rFonts w:ascii="Tahoma" w:eastAsia="Tahoma" w:hAnsi="Tahoma" w:cs="Tahoma"/>
        </w:rPr>
        <w:t>Proposals will be evaluated based on</w:t>
      </w:r>
    </w:p>
    <w:p w14:paraId="00000057" w14:textId="77777777" w:rsidR="006A2BBD" w:rsidRDefault="006273BE" w:rsidP="007C3F82">
      <w:pPr>
        <w:spacing w:before="120" w:after="120" w:line="240" w:lineRule="auto"/>
        <w:rPr>
          <w:rFonts w:ascii="Tahoma" w:eastAsia="Tahoma" w:hAnsi="Tahoma" w:cs="Tahoma"/>
        </w:rPr>
      </w:pPr>
      <w:r>
        <w:rPr>
          <w:rFonts w:ascii="Tahoma" w:eastAsia="Tahoma" w:hAnsi="Tahoma" w:cs="Tahoma"/>
        </w:rPr>
        <w:t>Technical score (80%):</w:t>
      </w:r>
    </w:p>
    <w:p w14:paraId="00000058" w14:textId="77777777" w:rsidR="006A2BBD" w:rsidRDefault="006273BE" w:rsidP="007C3F82">
      <w:pPr>
        <w:spacing w:before="120" w:after="120" w:line="240" w:lineRule="auto"/>
        <w:jc w:val="both"/>
        <w:rPr>
          <w:rFonts w:ascii="Tahoma" w:eastAsia="Tahoma" w:hAnsi="Tahoma" w:cs="Tahoma"/>
          <w:sz w:val="20"/>
          <w:szCs w:val="20"/>
          <w:highlight w:val="yellow"/>
        </w:rPr>
      </w:pPr>
      <w:r>
        <w:rPr>
          <w:rFonts w:ascii="Tahoma" w:eastAsia="Tahoma" w:hAnsi="Tahoma" w:cs="Tahoma"/>
        </w:rPr>
        <w:t>Technical proposals will be assessed based on:</w:t>
      </w:r>
    </w:p>
    <w:p w14:paraId="00000059"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quality and clarity of the technical proposal (40)</w:t>
      </w:r>
    </w:p>
    <w:p w14:paraId="0000005A"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relevant experience (30)</w:t>
      </w:r>
    </w:p>
    <w:p w14:paraId="0000005B"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understanding of the assignment and proposed approach (30)</w:t>
      </w:r>
    </w:p>
    <w:p w14:paraId="0000005D" w14:textId="18077864" w:rsidR="006A2BBD" w:rsidRDefault="006273BE" w:rsidP="007C3F82">
      <w:pPr>
        <w:pBdr>
          <w:top w:val="nil"/>
          <w:left w:val="nil"/>
          <w:bottom w:val="nil"/>
          <w:right w:val="nil"/>
          <w:between w:val="nil"/>
        </w:pBdr>
        <w:spacing w:before="120" w:after="120" w:line="240" w:lineRule="auto"/>
        <w:rPr>
          <w:rFonts w:ascii="Tahoma" w:eastAsia="Tahoma" w:hAnsi="Tahoma" w:cs="Tahoma"/>
        </w:rPr>
      </w:pPr>
      <w:r>
        <w:rPr>
          <w:rFonts w:ascii="Tahoma" w:eastAsia="Tahoma" w:hAnsi="Tahoma" w:cs="Tahoma"/>
        </w:rPr>
        <w:t>Financial score (20%)</w:t>
      </w:r>
      <w:r w:rsidR="007C3F82">
        <w:rPr>
          <w:rFonts w:ascii="Tahoma" w:eastAsia="Tahoma" w:hAnsi="Tahoma" w:cs="Tahoma"/>
        </w:rPr>
        <w:t>:</w:t>
      </w:r>
    </w:p>
    <w:p w14:paraId="0000005E"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 xml:space="preserve">financial offer </w:t>
      </w:r>
    </w:p>
    <w:p w14:paraId="0000005F" w14:textId="1F775C54" w:rsidR="006A2BBD" w:rsidRDefault="006273BE" w:rsidP="007C3F82">
      <w:pPr>
        <w:pBdr>
          <w:top w:val="nil"/>
          <w:left w:val="nil"/>
          <w:bottom w:val="nil"/>
          <w:right w:val="nil"/>
          <w:between w:val="nil"/>
        </w:pBdr>
        <w:spacing w:before="120" w:after="120" w:line="240" w:lineRule="auto"/>
        <w:jc w:val="both"/>
        <w:rPr>
          <w:rFonts w:ascii="Tahoma" w:eastAsia="Tahoma" w:hAnsi="Tahoma" w:cs="Tahoma"/>
        </w:rPr>
      </w:pPr>
      <w:r>
        <w:rPr>
          <w:rFonts w:ascii="Tahoma" w:eastAsia="Tahoma" w:hAnsi="Tahoma" w:cs="Tahoma"/>
        </w:rPr>
        <w:t>The lowest priced compliant offer will receive the maximum score for the financial component. Other offers will be scored proportionally</w:t>
      </w:r>
      <w:r w:rsidR="00FC67D6">
        <w:rPr>
          <w:rFonts w:ascii="Tahoma" w:eastAsia="Tahoma" w:hAnsi="Tahoma" w:cs="Tahoma"/>
        </w:rPr>
        <w:t>.</w:t>
      </w:r>
    </w:p>
    <w:p w14:paraId="00000060"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contracting authority reserves the right to invite shortlisted candidates for an interview or presentation, as well as to request additional clarifications.</w:t>
      </w:r>
    </w:p>
    <w:p w14:paraId="00000061"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contracting authority reserves the right not to award a contract if none of the received proposals meet the required quality or financial expectations.</w:t>
      </w:r>
    </w:p>
    <w:sectPr w:rsidR="006A2BBD" w:rsidSect="00BA64C4">
      <w:footerReference w:type="default" r:id="rId8"/>
      <w:pgSz w:w="12240" w:h="15840"/>
      <w:pgMar w:top="1134" w:right="1418" w:bottom="1134" w:left="141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B989F7" w14:textId="77777777" w:rsidR="00F91D2E" w:rsidRDefault="00F91D2E" w:rsidP="00BA64C4">
      <w:pPr>
        <w:spacing w:after="0" w:line="240" w:lineRule="auto"/>
      </w:pPr>
      <w:r>
        <w:separator/>
      </w:r>
    </w:p>
  </w:endnote>
  <w:endnote w:type="continuationSeparator" w:id="0">
    <w:p w14:paraId="53BD0E43" w14:textId="77777777" w:rsidR="00F91D2E" w:rsidRDefault="00F91D2E" w:rsidP="00BA64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ABEAC097-F666-4343-8770-976782DA61BE}"/>
  </w:font>
  <w:font w:name="Calibri">
    <w:panose1 w:val="020F0502020204030204"/>
    <w:charset w:val="00"/>
    <w:family w:val="swiss"/>
    <w:pitch w:val="variable"/>
    <w:sig w:usb0="E4002EFF" w:usb1="C200247B" w:usb2="00000009" w:usb3="00000000" w:csb0="000001FF" w:csb1="00000000"/>
    <w:embedRegular r:id="rId2" w:fontKey="{71287864-892D-4DBB-ABB4-B0C8FB58E5DF}"/>
    <w:embedBold r:id="rId3" w:fontKey="{243477E9-20C1-4FFF-8C39-DB27E9266B64}"/>
    <w:embedItalic r:id="rId4" w:fontKey="{C7513A1C-EF3B-424E-8720-730366354F2C}"/>
    <w:embedBoldItalic r:id="rId5" w:fontKey="{D2E572FE-F7D1-4FB6-B231-8B9503199464}"/>
  </w:font>
  <w:font w:name="Times New Roman">
    <w:panose1 w:val="02020603050405020304"/>
    <w:charset w:val="00"/>
    <w:family w:val="roman"/>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embedRegular r:id="rId6" w:fontKey="{122EDABC-7E2F-4A63-A4EF-01EF1324A238}"/>
    <w:embedBold r:id="rId7" w:fontKey="{C2729D73-00D2-4B51-8D01-A0A934177DD2}"/>
  </w:font>
  <w:font w:name="Cambria">
    <w:panose1 w:val="02040503050406030204"/>
    <w:charset w:val="EE"/>
    <w:family w:val="roman"/>
    <w:pitch w:val="variable"/>
    <w:sig w:usb0="E00006FF" w:usb1="420024FF" w:usb2="02000000" w:usb3="00000000" w:csb0="0000019F" w:csb1="00000000"/>
    <w:embedRegular r:id="rId8" w:fontKey="{6909ABEB-72AF-4894-A0C4-4A8111E360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0388738"/>
      <w:docPartObj>
        <w:docPartGallery w:val="Page Numbers (Bottom of Page)"/>
        <w:docPartUnique/>
      </w:docPartObj>
    </w:sdtPr>
    <w:sdtEndPr>
      <w:rPr>
        <w:rFonts w:ascii="Tahoma" w:hAnsi="Tahoma" w:cs="Tahoma"/>
        <w:sz w:val="18"/>
        <w:szCs w:val="18"/>
      </w:rPr>
    </w:sdtEndPr>
    <w:sdtContent>
      <w:sdt>
        <w:sdtPr>
          <w:id w:val="-1769616900"/>
          <w:docPartObj>
            <w:docPartGallery w:val="Page Numbers (Top of Page)"/>
            <w:docPartUnique/>
          </w:docPartObj>
        </w:sdtPr>
        <w:sdtEndPr>
          <w:rPr>
            <w:rFonts w:ascii="Tahoma" w:hAnsi="Tahoma" w:cs="Tahoma"/>
            <w:sz w:val="18"/>
            <w:szCs w:val="18"/>
          </w:rPr>
        </w:sdtEndPr>
        <w:sdtContent>
          <w:p w14:paraId="42F75D7B" w14:textId="31653396" w:rsidR="00BA64C4" w:rsidRPr="00EC02F8" w:rsidRDefault="00BA64C4">
            <w:pPr>
              <w:pStyle w:val="Footer"/>
              <w:jc w:val="right"/>
              <w:rPr>
                <w:rFonts w:ascii="Tahoma" w:hAnsi="Tahoma" w:cs="Tahoma"/>
                <w:sz w:val="18"/>
                <w:szCs w:val="18"/>
              </w:rPr>
            </w:pPr>
            <w:r w:rsidRPr="00EC02F8">
              <w:rPr>
                <w:rFonts w:ascii="Tahoma" w:hAnsi="Tahoma" w:cs="Tahoma"/>
                <w:sz w:val="18"/>
                <w:szCs w:val="18"/>
              </w:rPr>
              <w:t xml:space="preserve">Page </w:t>
            </w:r>
            <w:r w:rsidRPr="00EC02F8">
              <w:rPr>
                <w:rFonts w:ascii="Tahoma" w:hAnsi="Tahoma" w:cs="Tahoma"/>
                <w:b/>
                <w:bCs/>
                <w:sz w:val="18"/>
                <w:szCs w:val="18"/>
              </w:rPr>
              <w:fldChar w:fldCharType="begin"/>
            </w:r>
            <w:r w:rsidRPr="00EC02F8">
              <w:rPr>
                <w:rFonts w:ascii="Tahoma" w:hAnsi="Tahoma" w:cs="Tahoma"/>
                <w:b/>
                <w:bCs/>
                <w:sz w:val="18"/>
                <w:szCs w:val="18"/>
              </w:rPr>
              <w:instrText xml:space="preserve"> PAGE </w:instrText>
            </w:r>
            <w:r w:rsidRPr="00EC02F8">
              <w:rPr>
                <w:rFonts w:ascii="Tahoma" w:hAnsi="Tahoma" w:cs="Tahoma"/>
                <w:b/>
                <w:bCs/>
                <w:sz w:val="18"/>
                <w:szCs w:val="18"/>
              </w:rPr>
              <w:fldChar w:fldCharType="separate"/>
            </w:r>
            <w:r w:rsidRPr="00EC02F8">
              <w:rPr>
                <w:rFonts w:ascii="Tahoma" w:hAnsi="Tahoma" w:cs="Tahoma"/>
                <w:b/>
                <w:bCs/>
                <w:noProof/>
                <w:sz w:val="18"/>
                <w:szCs w:val="18"/>
              </w:rPr>
              <w:t>2</w:t>
            </w:r>
            <w:r w:rsidRPr="00EC02F8">
              <w:rPr>
                <w:rFonts w:ascii="Tahoma" w:hAnsi="Tahoma" w:cs="Tahoma"/>
                <w:b/>
                <w:bCs/>
                <w:sz w:val="18"/>
                <w:szCs w:val="18"/>
              </w:rPr>
              <w:fldChar w:fldCharType="end"/>
            </w:r>
            <w:r w:rsidRPr="00EC02F8">
              <w:rPr>
                <w:rFonts w:ascii="Tahoma" w:hAnsi="Tahoma" w:cs="Tahoma"/>
                <w:sz w:val="18"/>
                <w:szCs w:val="18"/>
              </w:rPr>
              <w:t xml:space="preserve"> of </w:t>
            </w:r>
            <w:r w:rsidRPr="00EC02F8">
              <w:rPr>
                <w:rFonts w:ascii="Tahoma" w:hAnsi="Tahoma" w:cs="Tahoma"/>
                <w:b/>
                <w:bCs/>
                <w:sz w:val="18"/>
                <w:szCs w:val="18"/>
              </w:rPr>
              <w:fldChar w:fldCharType="begin"/>
            </w:r>
            <w:r w:rsidRPr="00EC02F8">
              <w:rPr>
                <w:rFonts w:ascii="Tahoma" w:hAnsi="Tahoma" w:cs="Tahoma"/>
                <w:b/>
                <w:bCs/>
                <w:sz w:val="18"/>
                <w:szCs w:val="18"/>
              </w:rPr>
              <w:instrText xml:space="preserve"> NUMPAGES  </w:instrText>
            </w:r>
            <w:r w:rsidRPr="00EC02F8">
              <w:rPr>
                <w:rFonts w:ascii="Tahoma" w:hAnsi="Tahoma" w:cs="Tahoma"/>
                <w:b/>
                <w:bCs/>
                <w:sz w:val="18"/>
                <w:szCs w:val="18"/>
              </w:rPr>
              <w:fldChar w:fldCharType="separate"/>
            </w:r>
            <w:r w:rsidRPr="00EC02F8">
              <w:rPr>
                <w:rFonts w:ascii="Tahoma" w:hAnsi="Tahoma" w:cs="Tahoma"/>
                <w:b/>
                <w:bCs/>
                <w:noProof/>
                <w:sz w:val="18"/>
                <w:szCs w:val="18"/>
              </w:rPr>
              <w:t>2</w:t>
            </w:r>
            <w:r w:rsidRPr="00EC02F8">
              <w:rPr>
                <w:rFonts w:ascii="Tahoma" w:hAnsi="Tahoma" w:cs="Tahoma"/>
                <w:b/>
                <w:bCs/>
                <w:sz w:val="18"/>
                <w:szCs w:val="18"/>
              </w:rPr>
              <w:fldChar w:fldCharType="end"/>
            </w:r>
          </w:p>
        </w:sdtContent>
      </w:sdt>
    </w:sdtContent>
  </w:sdt>
  <w:p w14:paraId="48ECDB58" w14:textId="77777777" w:rsidR="00BA64C4" w:rsidRDefault="00BA64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C47AF3" w14:textId="77777777" w:rsidR="00F91D2E" w:rsidRDefault="00F91D2E" w:rsidP="00BA64C4">
      <w:pPr>
        <w:spacing w:after="0" w:line="240" w:lineRule="auto"/>
      </w:pPr>
      <w:r>
        <w:separator/>
      </w:r>
    </w:p>
  </w:footnote>
  <w:footnote w:type="continuationSeparator" w:id="0">
    <w:p w14:paraId="627ED8EA" w14:textId="77777777" w:rsidR="00F91D2E" w:rsidRDefault="00F91D2E" w:rsidP="00BA64C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164DB"/>
    <w:multiLevelType w:val="multilevel"/>
    <w:tmpl w:val="FE1C24D4"/>
    <w:lvl w:ilvl="0">
      <w:start w:val="1"/>
      <w:numFmt w:val="decimal"/>
      <w:pStyle w:val="ListBullet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9DC0E8D"/>
    <w:multiLevelType w:val="multilevel"/>
    <w:tmpl w:val="B6BE293A"/>
    <w:lvl w:ilvl="0">
      <w:start w:val="1"/>
      <w:numFmt w:val="bullet"/>
      <w:pStyle w:val="List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7C0E07B2"/>
    <w:multiLevelType w:val="multilevel"/>
    <w:tmpl w:val="F3BAB090"/>
    <w:lvl w:ilvl="0">
      <w:start w:val="1"/>
      <w:numFmt w:val="decimal"/>
      <w:pStyle w:val="ListBullet2"/>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484593922">
    <w:abstractNumId w:val="1"/>
  </w:num>
  <w:num w:numId="2" w16cid:durableId="1024133870">
    <w:abstractNumId w:val="2"/>
  </w:num>
  <w:num w:numId="3" w16cid:durableId="107824046">
    <w:abstractNumId w:val="0"/>
  </w:num>
  <w:num w:numId="4" w16cid:durableId="127455750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3027158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772229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2BBD"/>
    <w:rsid w:val="000E47D3"/>
    <w:rsid w:val="001B7E96"/>
    <w:rsid w:val="00226C85"/>
    <w:rsid w:val="006273BE"/>
    <w:rsid w:val="006A2BBD"/>
    <w:rsid w:val="007C3F82"/>
    <w:rsid w:val="009D5A0B"/>
    <w:rsid w:val="00B55E9E"/>
    <w:rsid w:val="00BA64C4"/>
    <w:rsid w:val="00D37E2E"/>
    <w:rsid w:val="00EC02F8"/>
    <w:rsid w:val="00F91D2E"/>
    <w:rsid w:val="00FC67D6"/>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F09C66"/>
  <w15:docId w15:val="{08721A56-5421-4F09-A2EC-3C7E705A0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sr-Latn-R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0"/>
      <w:outlineLvl w:val="0"/>
    </w:pPr>
    <w:rPr>
      <w:b/>
      <w:bCs/>
      <w:color w:val="366091"/>
      <w:sz w:val="28"/>
      <w:szCs w:val="28"/>
    </w:rPr>
  </w:style>
  <w:style w:type="paragraph" w:styleId="Heading2">
    <w:name w:val="heading 2"/>
    <w:basedOn w:val="Normal"/>
    <w:next w:val="Normal"/>
    <w:link w:val="Heading2Char"/>
    <w:uiPriority w:val="9"/>
    <w:unhideWhenUsed/>
    <w:qFormat/>
    <w:pPr>
      <w:keepNext/>
      <w:keepLines/>
      <w:spacing w:before="200" w:after="0"/>
      <w:outlineLvl w:val="1"/>
    </w:pPr>
    <w:rPr>
      <w:b/>
      <w:bCs/>
      <w:color w:val="4F81BD"/>
      <w:sz w:val="26"/>
      <w:szCs w:val="26"/>
    </w:rPr>
  </w:style>
  <w:style w:type="paragraph" w:styleId="Heading3">
    <w:name w:val="heading 3"/>
    <w:basedOn w:val="Normal"/>
    <w:next w:val="Normal"/>
    <w:link w:val="Heading3Char"/>
    <w:uiPriority w:val="9"/>
    <w:semiHidden/>
    <w:unhideWhenUsed/>
    <w:qFormat/>
    <w:pPr>
      <w:keepNext/>
      <w:keepLines/>
      <w:spacing w:before="200" w:after="0"/>
      <w:outlineLvl w:val="2"/>
    </w:pPr>
    <w:rPr>
      <w:b/>
      <w:bCs/>
      <w:color w:val="4F81BD"/>
    </w:rPr>
  </w:style>
  <w:style w:type="paragraph" w:styleId="Heading4">
    <w:name w:val="heading 4"/>
    <w:basedOn w:val="Normal"/>
    <w:next w:val="Normal"/>
    <w:link w:val="Heading4Char"/>
    <w:uiPriority w:val="9"/>
    <w:semiHidden/>
    <w:unhideWhenUsed/>
    <w:qFormat/>
    <w:pPr>
      <w:keepNext/>
      <w:keepLines/>
      <w:spacing w:before="200" w:after="0"/>
      <w:outlineLvl w:val="3"/>
    </w:pPr>
    <w:rPr>
      <w:b/>
      <w:bCs/>
      <w:i/>
      <w:iCs/>
      <w:color w:val="4F81BD"/>
    </w:rPr>
  </w:style>
  <w:style w:type="paragraph" w:styleId="Heading5">
    <w:name w:val="heading 5"/>
    <w:basedOn w:val="Normal"/>
    <w:next w:val="Normal"/>
    <w:link w:val="Heading5Char"/>
    <w:uiPriority w:val="9"/>
    <w:semiHidden/>
    <w:unhideWhenUsed/>
    <w:qFormat/>
    <w:pPr>
      <w:keepNext/>
      <w:keepLines/>
      <w:spacing w:before="200" w:after="0"/>
      <w:outlineLvl w:val="4"/>
    </w:pPr>
    <w:rPr>
      <w:color w:val="243F61"/>
    </w:rPr>
  </w:style>
  <w:style w:type="paragraph" w:styleId="Heading6">
    <w:name w:val="heading 6"/>
    <w:basedOn w:val="Normal"/>
    <w:next w:val="Normal"/>
    <w:link w:val="Heading6Char"/>
    <w:uiPriority w:val="9"/>
    <w:semiHidden/>
    <w:unhideWhenUsed/>
    <w:qFormat/>
    <w:pPr>
      <w:keepNext/>
      <w:keepLines/>
      <w:spacing w:before="200" w:after="0"/>
      <w:outlineLvl w:val="5"/>
    </w:pPr>
    <w:rPr>
      <w:i/>
      <w:iCs/>
      <w:color w:val="243F61"/>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bottom w:val="single" w:sz="8" w:space="4" w:color="4F81BD"/>
      </w:pBdr>
      <w:spacing w:after="300" w:line="240" w:lineRule="auto"/>
    </w:pPr>
    <w:rPr>
      <w:color w:val="17365D"/>
      <w:sz w:val="52"/>
      <w:szCs w:val="5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tabs>
        <w:tab w:val="num" w:pos="720"/>
      </w:tabs>
      <w:ind w:left="720" w:hanging="720"/>
      <w:contextualSpacing/>
    </w:pPr>
  </w:style>
  <w:style w:type="paragraph" w:styleId="ListNumber2">
    <w:name w:val="List Number 2"/>
    <w:basedOn w:val="Normal"/>
    <w:uiPriority w:val="99"/>
    <w:unhideWhenUsed/>
    <w:rsid w:val="0029639D"/>
    <w:pPr>
      <w:tabs>
        <w:tab w:val="num" w:pos="720"/>
      </w:tabs>
      <w:ind w:left="720" w:hanging="720"/>
      <w:contextualSpacing/>
    </w:pPr>
  </w:style>
  <w:style w:type="paragraph" w:styleId="ListNumber3">
    <w:name w:val="List Number 3"/>
    <w:basedOn w:val="Normal"/>
    <w:uiPriority w:val="99"/>
    <w:unhideWhenUsed/>
    <w:rsid w:val="0029639D"/>
    <w:pPr>
      <w:tabs>
        <w:tab w:val="num" w:pos="720"/>
      </w:tabs>
      <w:ind w:left="720" w:hanging="720"/>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Subtitle">
    <w:name w:val="Subtitle"/>
    <w:basedOn w:val="Normal"/>
    <w:next w:val="Normal"/>
    <w:link w:val="SubtitleChar"/>
    <w:uiPriority w:val="11"/>
    <w:qFormat/>
    <w:rPr>
      <w:i/>
      <w:iCs/>
      <w:color w:val="4F81BD"/>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X3RcHTL2cTDCmfbg4oX6aQAZPA==">CgMxLjA4AHIhMUhTR2FFWWViY05NZDdFRjJMVE83SG5JeGFlSTdxVE1j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4</Pages>
  <Words>1009</Words>
  <Characters>5755</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Proaktiv</cp:lastModifiedBy>
  <cp:revision>5</cp:revision>
  <dcterms:created xsi:type="dcterms:W3CDTF">2026-03-23T08:41:00Z</dcterms:created>
  <dcterms:modified xsi:type="dcterms:W3CDTF">2026-03-23T13:17:00Z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a77d4721-07d2-4716-80b6-e461fe28ccca</vt:lpwstr>
  </property>
</Properties>
</file>